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</w:p>
    <w:p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результате изучения экологии в 6 классе обучающиеся научатся: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1.освоение важнейших  экологических знаний </w:t>
      </w:r>
      <w:r>
        <w:rPr>
          <w:rFonts w:ascii="Times New Roman" w:hAnsi="Times New Roman" w:cs="Times New Roman"/>
          <w:sz w:val="24"/>
          <w:szCs w:val="24"/>
        </w:rPr>
        <w:t xml:space="preserve"> и  экологической терминологии;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>познавательных интересов и интеллектуальных способностей в процессе проведения экскурсий и практических работ, самостоятельного приобретения знаний  из различных источников информации и жизненного опыта;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воспитание </w:t>
      </w:r>
      <w:r>
        <w:rPr>
          <w:rFonts w:ascii="Times New Roman" w:hAnsi="Times New Roman" w:cs="Times New Roman"/>
          <w:sz w:val="24"/>
          <w:szCs w:val="24"/>
        </w:rPr>
        <w:t xml:space="preserve"> экологически грамотной, как необходимого элемента общечеловеческой культуры;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применение полученных знаний и умений </w:t>
      </w:r>
      <w:r>
        <w:rPr>
          <w:rFonts w:ascii="Times New Roman" w:hAnsi="Times New Roman" w:cs="Times New Roman"/>
          <w:sz w:val="24"/>
          <w:szCs w:val="24"/>
        </w:rPr>
        <w:t xml:space="preserve"> для обеспечения экологической безопасности в повседневной жизни, предупреждения явлений, наносящих вред здоровью человека и окружающей среде.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5.формирование  научных  знаний  об экологических связях в окружающем мире,  целесообразности  его составляющих, антропогенном влиянии, этических и правовых нормах экологической безопасности. 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6.развитие   у них экологического мышления, готовности к  общественной деятельности экологической направленности.</w:t>
      </w:r>
    </w:p>
    <w:p>
      <w:pPr>
        <w:jc w:val="both"/>
        <w:rPr>
          <w:rFonts w:ascii="Times New Roman" w:hAnsi="Times New Roman"/>
          <w:b/>
          <w:sz w:val="24"/>
          <w:szCs w:val="24"/>
        </w:rPr>
      </w:pPr>
    </w:p>
    <w:p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pacing w:val="5"/>
          <w:sz w:val="24"/>
          <w:szCs w:val="24"/>
        </w:rPr>
        <w:t xml:space="preserve">К концу обучения в 6  классе обучающиеся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получат возможность научиться:</w:t>
      </w:r>
    </w:p>
    <w:p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Личностными результатами изучения предмета «Экология» 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освоения внеурочной деятельности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Внеурочная деятельность  в течении всего периода  обеспечит формирование у учащихся УУД.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Личностные УУД: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осознание значимости и общности глобальных проблем человечества;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патриотизм, любовь к своей местности, своему региону, своей стране;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уважение к истории, культуре, национальным особенностям, толерантность.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Регулятивные УУД: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способность к самостоятельному приобретению  новых знаний и практических умений;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умения управлять своей познавательной деятельностью;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умение организовывать свою деятельность;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определять её  цели и задачи;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выбирать средства   и применять их на практике;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оценивать достигнутые результаты.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Познавательные УУД: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формирование и развитие  средствами экологических знаний познавательных интересов,  интеллектуальных и творческих результатов;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-умение вести самостоятельный поиск, анализ, отбор информации, её преобразование, сохранение, передачу и презентацию с помощью технических средств. 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строить логическое рассуждение, включающее установление причинно-следственных связей.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- создавать схемы с выделением существенных характеристик объекта. 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- 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Коммуникативные УУД: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Преимущественные формы достижения результатов трёх уровней во внеурочной познавательной деятельности.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Первый уровень</w:t>
      </w: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 - воспитательные результаты.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Приобретение школьниками социальных знаний, первичного понимания социальной реальности и повседневной жизни. Познание собственно социального мира, т. е. познание жизни людей и общества: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принципов существования, норм этики и морали, базовых общественных ценностей, памятников мировой и отечественной культуры, особенностей межнациональных и межконфессиональных отношений. Причём важны не только и не столько фундаментальные знания, сколько те, которые нужны человеку для полноценного проживания его повседневной жизни, успешной социализации в обществе: как вести себя с человеком, находящимся в инвалидной коляске, что можно и чего нельзя делать в храме, как искать и находить нужную информацию, какие права есть у человека, попавшего в больницу, как безопасно для природы утилизировать бытовые отходы, как правильно оплатить коммунальные платежи и т. п.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Второй уровень</w:t>
      </w: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 - познавательная деятельность.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Формирование позитивных отношений детей к базовым ценностям общества.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Работу школьников с информацией воспитательного характера, предлагая им обсуждать её, высказывать своё мнение, вырабатывать по отношению к ней свою позицию. Это может быть информация о здоровье и вредных привычках, нравственных и безнравственных поступках людей, героизме и малодушии, войне и экологии, классической и массовой культуре, экономических, политических или социальных проблемах нашего общества.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При обсуждении такой информации эффективны внутригрупповые дискуссии. Они позволяют учащимся соотнести собственное отношение к дискутируемому вопросу с мнениями других детей и способствуют коррекции этого отношения, ведь весомое для подростков мнение сверстников часто становится источником изменения их взгляда на мир. Кроме того, благодаря дискуссиям школьники приобретут опыт поведения в ситуации разнообразия взглядов, будут учиться уважать иные точки зрения, соотносить их со своей собственной. Например тема: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«Использование животных для опытов: научная необходимость или жестокость людей?»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Обращать внимание школьников на нравственные проблемы, связанные с открытиями и изобретениями в той или иной области познания. Например, можно обратить внимание школьников, увлекающихся биологией и экологией можно затронуть проблему генной инженерии и рассмотреть этический аспект клонирования.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Внимание школьников можно акцентировать и на экологических последствиях открытия дешёвых способов изготовления синтетических материалов. Также можно предложить задуматься о том, к чему ведут новые научные открытия: к улучшению условий жизни человека или ко всё новым жертвам. Такие проблемы педагогам рекомендуется поднимать и обсуждать вместе со школьниками. Позитивное отношение к знанию как общественной ценности вырабатывается у школьника в том случае, если знание становится объектом эмоционального переживания.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iCs/>
          <w:sz w:val="24"/>
          <w:szCs w:val="24"/>
          <w:lang w:eastAsia="zh-CN"/>
        </w:rPr>
        <w:t>Третий уровень</w:t>
      </w: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 xml:space="preserve"> - познавательная деятельность.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Получение школьниками опыта самостоятельного социального действия, возможно при условии организации взаимодействия учащихся с социальными субъектами в открытой общественной среде. Наиболее эффективно это может происходить во время проведения детьми и педагогом тех или иных социально ориентированных акций. В кружках по предметам учащиеся могут изготавливать наглядные пособия или раздаточный материал для учебных занятий в школе и передавать их в дар учителям и ученикам. Деятельность членов научного общества учащихся рекомендуется в этой связи ориентировать на исследование окружающего их микросоциума, его злободневных проблем и способов их решения.</w:t>
      </w:r>
    </w:p>
    <w:p>
      <w:pPr>
        <w:pStyle w:val="7"/>
        <w:ind w:firstLine="567"/>
        <w:jc w:val="both"/>
        <w:rPr>
          <w:rFonts w:ascii="Times New Roman" w:hAnsi="Times New Roman" w:eastAsia="SimSun" w:cs="Times New Roman"/>
          <w:i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iCs/>
          <w:sz w:val="24"/>
          <w:szCs w:val="24"/>
          <w:lang w:eastAsia="zh-CN"/>
        </w:rPr>
        <w:t>Подобные темы могли бы становиться темами исследовательских проектов школьников, а их результаты — распространяться и обсуждаться в окружающем школу сообществе.</w:t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ОСНОВНОЕ СОДЕРЖАНИЕ</w:t>
      </w:r>
    </w:p>
    <w:p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choolBookCSanPin" w:hAnsi="SchoolBookCSanPi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Программа направлена на  развитие  познавательных УУД, расширение  видов источников информации, формирование коммуникативных умений, практических навыков работы с натуральными объектами природы, ценности принципа предосторожности. Расчитана на 68 часов, из них 34 – 6 класс.</w:t>
      </w:r>
    </w:p>
    <w:p>
      <w:pPr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>
      <w:pPr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  Расширяем экологическую грамотность</w:t>
      </w: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Введение.</w:t>
      </w:r>
      <w:r>
        <w:rPr>
          <w:rFonts w:ascii="Times New Roman" w:hAnsi="Times New Roman" w:cs="Times New Roman"/>
          <w:sz w:val="24"/>
          <w:szCs w:val="24"/>
        </w:rPr>
        <w:t xml:space="preserve">Анкетирование. Экологические проблемы родного края. Экологическая терминология Ученые экологи. </w:t>
      </w: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Азбука народной мудрости.</w:t>
      </w:r>
      <w:r>
        <w:rPr>
          <w:rFonts w:ascii="Times New Roman" w:hAnsi="Times New Roman" w:cs="Times New Roman"/>
          <w:sz w:val="24"/>
          <w:szCs w:val="24"/>
        </w:rPr>
        <w:t xml:space="preserve">  Законы природы в пословицах  и поговорках. Биоиндикация и биозащита. Ритмы жизни. Живые   часы и барометры. Лекарство или яд. Правила сбора и использования лекарственных растений, грибов. </w:t>
      </w: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Экологическая  опасность и безопасность.  </w:t>
      </w:r>
      <w:r>
        <w:rPr>
          <w:rFonts w:ascii="Times New Roman" w:hAnsi="Times New Roman" w:cs="Times New Roman"/>
          <w:sz w:val="24"/>
          <w:szCs w:val="24"/>
        </w:rPr>
        <w:t>Понятие опасности и безопасности. Загрязнение воздуха, воды, почвы: виды загрязнения, последствия, пути решения проблемы. Видовое разнообразие – стабильность жизни.  Моя Красная книга. Безопасность ближайшего  окружения (  продукты питания, химия в быту, ядовитые животные и растения).</w:t>
      </w: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Экологический практикум. </w:t>
      </w:r>
      <w:r>
        <w:rPr>
          <w:rFonts w:ascii="Times New Roman" w:hAnsi="Times New Roman" w:cs="Times New Roman"/>
          <w:sz w:val="24"/>
          <w:szCs w:val="24"/>
        </w:rPr>
        <w:t xml:space="preserve">Распознавание объектов живой природы. Этапы исследования. Определение загрязненности воздуха и воды.  Биогеоценоз и его компоненты. Определение качества  продуктов питания. </w:t>
      </w: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pPr w:leftFromText="180" w:rightFromText="180" w:vertAnchor="text" w:tblpX="10679" w:tblpY="1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>
            <w:pPr>
              <w:widowControl w:val="0"/>
              <w:spacing w:line="226" w:lineRule="exact"/>
              <w:rPr>
                <w:rFonts w:ascii="SchoolBookCSanPin" w:hAnsi="SchoolBookCSanPin"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widowControl w:val="0"/>
        <w:spacing w:line="226" w:lineRule="exact"/>
        <w:rPr>
          <w:rFonts w:ascii="SchoolBookCSanPin" w:hAnsi="SchoolBookCSanPin"/>
          <w:bCs/>
          <w:sz w:val="28"/>
          <w:szCs w:val="28"/>
        </w:rPr>
      </w:pPr>
    </w:p>
    <w:p>
      <w:pPr>
        <w:pStyle w:val="8"/>
        <w:spacing w:after="0"/>
        <w:ind w:firstLine="0"/>
        <w:jc w:val="left"/>
        <w:rPr>
          <w:rFonts w:ascii="Times New Roman" w:hAnsi="Times New Roman" w:eastAsia="Calibri" w:cs="Times New Roman"/>
          <w:b/>
          <w:sz w:val="24"/>
          <w:szCs w:val="24"/>
        </w:rPr>
      </w:pPr>
    </w:p>
    <w:tbl>
      <w:tblPr>
        <w:tblStyle w:val="5"/>
        <w:tblpPr w:leftFromText="180" w:rightFromText="180" w:vertAnchor="text" w:tblpX="15812" w:tblpY="3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897" w:type="dxa"/>
          </w:tcPr>
          <w:p>
            <w:pPr>
              <w:spacing w:after="120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</w:p>
        </w:tc>
      </w:tr>
    </w:tbl>
    <w:p>
      <w:pPr>
        <w:spacing w:after="120"/>
        <w:rPr>
          <w:rFonts w:ascii="Times New Roman" w:hAnsi="Times New Roman"/>
          <w:sz w:val="24"/>
          <w:szCs w:val="24"/>
        </w:rPr>
      </w:pPr>
    </w:p>
    <w:tbl>
      <w:tblPr>
        <w:tblStyle w:val="5"/>
        <w:tblpPr w:leftFromText="180" w:rightFromText="180" w:vertAnchor="text" w:tblpX="15812" w:tblpY="6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317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5"/>
        <w:tblpPr w:leftFromText="180" w:rightFromText="180" w:vertAnchor="text" w:tblpX="15812" w:tblpY="18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302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5"/>
        <w:tblpPr w:leftFromText="180" w:rightFromText="180" w:vertAnchor="text" w:tblpX="15812" w:tblpY="22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302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</w:p>
        </w:tc>
      </w:tr>
    </w:tbl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>
      <w:pPr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5"/>
        <w:tblW w:w="15205" w:type="dxa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954"/>
        <w:gridCol w:w="2805"/>
        <w:gridCol w:w="1610"/>
        <w:gridCol w:w="15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3345" w:type="dxa"/>
            <w:gridSpan w:val="3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проведения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Введение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Анкетирование. Правила поведения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плану</w:t>
            </w: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факту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термины 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Галерея ученых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родного края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Азбука народной мудрости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природы в пословицах и поговорках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способы защиты растений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Лишайники – показатели чистоты воздуха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«Жаворонок или сова»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природы нет плохой погоды…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аптекарского дела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сбора растений и грибов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Экологическая  опасность и безопасность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опасности и безопасности 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книгу леса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 состав используемых товаров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-  царь природы или….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Свалка по имени Земля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«Чистая  планеты – начни с себя»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должен знать каждый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Уникальность планеты Земля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Сохраняя видовое разнообразие – бережем планету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Красная книга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Экологический практикум.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проведения экологического  исследования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загрязненности воздуха в кабинете 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питьевой воды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и  срока годности продуктов по упаковке, внешнему виду.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условий для жизни дрожжей хлебопекарных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видового состава  злаковых на пришкольной территории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взаимосвязей компонентов живой и неживой природы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человека на  природу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 года </w:t>
            </w: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721" w:type="dxa"/>
        <w:tblInd w:w="-114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21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pPr>
        <w:spacing w:after="120"/>
        <w:rPr>
          <w:rFonts w:ascii="Times New Roman" w:hAnsi="Times New Roman"/>
          <w:sz w:val="24"/>
          <w:szCs w:val="24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choolBookCSanPin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71E3E"/>
    <w:multiLevelType w:val="multilevel"/>
    <w:tmpl w:val="0C071E3E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3"/>
      <w:numFmt w:val="decimal"/>
      <w:isLgl/>
      <w:lvlText w:val="%1.%2."/>
      <w:lvlJc w:val="left"/>
      <w:pPr>
        <w:ind w:left="1755" w:hanging="720"/>
      </w:pPr>
      <w:rPr>
        <w:rFonts w:cs="Times New Roman"/>
      </w:rPr>
    </w:lvl>
    <w:lvl w:ilvl="2" w:tentative="0">
      <w:start w:val="1"/>
      <w:numFmt w:val="decimal"/>
      <w:isLgl/>
      <w:lvlText w:val="%1.%2.%3."/>
      <w:lvlJc w:val="left"/>
      <w:pPr>
        <w:ind w:left="2430" w:hanging="720"/>
      </w:pPr>
      <w:rPr>
        <w:rFonts w:cs="Times New Roman"/>
      </w:rPr>
    </w:lvl>
    <w:lvl w:ilvl="3" w:tentative="0">
      <w:start w:val="1"/>
      <w:numFmt w:val="decimal"/>
      <w:isLgl/>
      <w:lvlText w:val="%1.%2.%3.%4."/>
      <w:lvlJc w:val="left"/>
      <w:pPr>
        <w:ind w:left="3465" w:hanging="1080"/>
      </w:pPr>
      <w:rPr>
        <w:rFonts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4140" w:hanging="1080"/>
      </w:pPr>
      <w:rPr>
        <w:rFonts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5175" w:hanging="1440"/>
      </w:pPr>
      <w:rPr>
        <w:rFonts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6210" w:hanging="1800"/>
      </w:pPr>
      <w:rPr>
        <w:rFonts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6885" w:hanging="1800"/>
      </w:pPr>
      <w:rPr>
        <w:rFonts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792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C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left="720"/>
    </w:pPr>
  </w:style>
  <w:style w:type="paragraph" w:styleId="7">
    <w:name w:val="No Spacing"/>
    <w:qFormat/>
    <w:uiPriority w:val="99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8">
    <w:name w:val="02 Текст основной"/>
    <w:basedOn w:val="1"/>
    <w:qFormat/>
    <w:uiPriority w:val="0"/>
    <w:pPr>
      <w:widowControl w:val="0"/>
      <w:autoSpaceDE w:val="0"/>
      <w:autoSpaceDN w:val="0"/>
      <w:adjustRightInd w:val="0"/>
      <w:spacing w:after="40" w:line="240" w:lineRule="auto"/>
      <w:ind w:firstLine="567"/>
      <w:jc w:val="both"/>
    </w:pPr>
    <w:rPr>
      <w:rFonts w:asciiTheme="minorHAnsi" w:hAnsiTheme="minorHAnsi" w:eastAsiaTheme="minorHAnsi" w:cstheme="minorBidi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2023-10-18T06:11:28Z</dcterms:created>
  <dc:creator>Психолог</dc:creator>
  <cp:lastModifiedBy>Психолог</cp:lastModifiedBy>
  <dcterms:modified xsi:type="dcterms:W3CDTF">2023-10-18T06:15:07Z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A1E9B8EDD10E40BE92490F079A3C54B3</vt:lpwstr>
  </property>
</Properties>
</file>